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03002" w14:textId="77777777" w:rsidR="00CB586B" w:rsidRDefault="00CB586B" w:rsidP="00CB586B">
      <w:pPr>
        <w:jc w:val="both"/>
        <w:rPr>
          <w:rFonts w:eastAsia="Arial Unicode MS" w:cs="Arial Unicode MS"/>
          <w:b/>
        </w:rPr>
      </w:pPr>
    </w:p>
    <w:p w14:paraId="5E4817CC" w14:textId="77777777" w:rsidR="00CB586B" w:rsidRDefault="00CB586B" w:rsidP="00CB586B">
      <w:pPr>
        <w:jc w:val="both"/>
        <w:rPr>
          <w:rFonts w:eastAsia="Arial Unicode MS" w:cs="Arial Unicode MS"/>
          <w:b/>
        </w:rPr>
      </w:pPr>
    </w:p>
    <w:tbl>
      <w:tblPr>
        <w:tblStyle w:val="Reatabula"/>
        <w:tblW w:w="0" w:type="auto"/>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5"/>
        <w:gridCol w:w="7076"/>
      </w:tblGrid>
      <w:tr w:rsidR="00CB586B" w:rsidRPr="00CB586B" w14:paraId="183A466E" w14:textId="77777777" w:rsidTr="00001BB9">
        <w:trPr>
          <w:trHeight w:val="547"/>
        </w:trPr>
        <w:tc>
          <w:tcPr>
            <w:tcW w:w="2016" w:type="dxa"/>
            <w:vMerge w:val="restart"/>
            <w:tcBorders>
              <w:top w:val="nil"/>
              <w:left w:val="nil"/>
              <w:bottom w:val="single" w:sz="4" w:space="0" w:color="auto"/>
              <w:right w:val="nil"/>
            </w:tcBorders>
            <w:hideMark/>
          </w:tcPr>
          <w:p w14:paraId="023C7C7F" w14:textId="77777777" w:rsidR="00CB586B" w:rsidRPr="00CB586B" w:rsidRDefault="00CB586B" w:rsidP="00CB586B">
            <w:pPr>
              <w:widowControl/>
              <w:suppressAutoHyphens w:val="0"/>
              <w:rPr>
                <w:rFonts w:ascii="Calibri" w:eastAsia="Calibri" w:hAnsi="Calibri" w:cs="Times New Roman"/>
                <w:kern w:val="0"/>
                <w:lang w:eastAsia="en-US" w:bidi="ar-SA"/>
              </w:rPr>
            </w:pPr>
            <w:r w:rsidRPr="00CB586B">
              <w:rPr>
                <w:rFonts w:ascii="Calibri" w:eastAsia="Calibri" w:hAnsi="Calibri" w:cs="Times New Roman"/>
                <w:noProof/>
                <w:kern w:val="0"/>
                <w:lang w:eastAsia="en-US" w:bidi="ar-SA"/>
              </w:rPr>
              <w:drawing>
                <wp:anchor distT="0" distB="0" distL="114300" distR="114300" simplePos="0" relativeHeight="251659264" behindDoc="0" locked="0" layoutInCell="1" allowOverlap="1" wp14:anchorId="58BD60ED" wp14:editId="743C595C">
                  <wp:simplePos x="0" y="0"/>
                  <wp:positionH relativeFrom="margin">
                    <wp:align>center</wp:align>
                  </wp:positionH>
                  <wp:positionV relativeFrom="margin">
                    <wp:align>top</wp:align>
                  </wp:positionV>
                  <wp:extent cx="910590" cy="1080135"/>
                  <wp:effectExtent l="0" t="0" r="3810" b="5715"/>
                  <wp:wrapSquare wrapText="bothSides"/>
                  <wp:docPr id="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0590" cy="1080135"/>
                          </a:xfrm>
                          <a:prstGeom prst="rect">
                            <a:avLst/>
                          </a:prstGeom>
                          <a:noFill/>
                        </pic:spPr>
                      </pic:pic>
                    </a:graphicData>
                  </a:graphic>
                  <wp14:sizeRelH relativeFrom="page">
                    <wp14:pctWidth>0</wp14:pctWidth>
                  </wp14:sizeRelH>
                  <wp14:sizeRelV relativeFrom="page">
                    <wp14:pctHeight>0</wp14:pctHeight>
                  </wp14:sizeRelV>
                </wp:anchor>
              </w:drawing>
            </w:r>
          </w:p>
        </w:tc>
        <w:tc>
          <w:tcPr>
            <w:tcW w:w="7338" w:type="dxa"/>
            <w:tcBorders>
              <w:top w:val="nil"/>
              <w:left w:val="nil"/>
              <w:bottom w:val="nil"/>
              <w:right w:val="nil"/>
            </w:tcBorders>
            <w:hideMark/>
          </w:tcPr>
          <w:p w14:paraId="6580C609" w14:textId="77777777" w:rsidR="00CB586B" w:rsidRPr="00CB586B" w:rsidRDefault="00CB586B" w:rsidP="00CB586B">
            <w:pPr>
              <w:widowControl/>
              <w:suppressAutoHyphens w:val="0"/>
              <w:jc w:val="center"/>
              <w:rPr>
                <w:rFonts w:eastAsia="Calibri" w:cs="Times New Roman"/>
                <w:kern w:val="0"/>
                <w:lang w:eastAsia="en-US" w:bidi="ar-SA"/>
              </w:rPr>
            </w:pPr>
            <w:r w:rsidRPr="00CB586B">
              <w:rPr>
                <w:rFonts w:eastAsia="Calibri" w:cs="Times New Roman"/>
                <w:b/>
                <w:kern w:val="0"/>
                <w:sz w:val="40"/>
                <w:szCs w:val="40"/>
                <w:lang w:eastAsia="en-US" w:bidi="ar-SA"/>
              </w:rPr>
              <w:t>MADONAS NOVADA PAŠVALDĪBA</w:t>
            </w:r>
          </w:p>
        </w:tc>
      </w:tr>
      <w:tr w:rsidR="00CB586B" w:rsidRPr="00CB586B" w14:paraId="7C26C28E" w14:textId="77777777" w:rsidTr="00001BB9">
        <w:trPr>
          <w:trHeight w:val="162"/>
        </w:trPr>
        <w:tc>
          <w:tcPr>
            <w:tcW w:w="0" w:type="auto"/>
            <w:vMerge/>
            <w:tcBorders>
              <w:top w:val="nil"/>
              <w:left w:val="nil"/>
              <w:bottom w:val="single" w:sz="4" w:space="0" w:color="auto"/>
              <w:right w:val="nil"/>
            </w:tcBorders>
            <w:vAlign w:val="center"/>
            <w:hideMark/>
          </w:tcPr>
          <w:p w14:paraId="0EAC9772" w14:textId="77777777" w:rsidR="00CB586B" w:rsidRPr="00CB586B" w:rsidRDefault="00CB586B" w:rsidP="00CB586B">
            <w:pPr>
              <w:widowControl/>
              <w:suppressAutoHyphens w:val="0"/>
              <w:rPr>
                <w:rFonts w:ascii="Calibri" w:eastAsia="Calibri" w:hAnsi="Calibri" w:cs="Times New Roman"/>
                <w:kern w:val="0"/>
                <w:lang w:eastAsia="en-US" w:bidi="ar-SA"/>
              </w:rPr>
            </w:pPr>
          </w:p>
        </w:tc>
        <w:tc>
          <w:tcPr>
            <w:tcW w:w="7338" w:type="dxa"/>
            <w:tcBorders>
              <w:top w:val="nil"/>
              <w:left w:val="nil"/>
              <w:bottom w:val="nil"/>
              <w:right w:val="nil"/>
            </w:tcBorders>
          </w:tcPr>
          <w:p w14:paraId="0E3AADB5" w14:textId="77777777" w:rsidR="00CB586B" w:rsidRPr="00CB586B" w:rsidRDefault="00CB586B" w:rsidP="00CB586B">
            <w:pPr>
              <w:widowControl/>
              <w:suppressAutoHyphens w:val="0"/>
              <w:jc w:val="center"/>
              <w:rPr>
                <w:rFonts w:eastAsia="Calibri" w:cs="Times New Roman"/>
                <w:kern w:val="0"/>
                <w:sz w:val="24"/>
                <w:szCs w:val="24"/>
                <w:lang w:eastAsia="en-US" w:bidi="ar-SA"/>
              </w:rPr>
            </w:pPr>
          </w:p>
        </w:tc>
      </w:tr>
      <w:tr w:rsidR="00CB586B" w:rsidRPr="00CB586B" w14:paraId="08F30D41" w14:textId="77777777" w:rsidTr="00001BB9">
        <w:tc>
          <w:tcPr>
            <w:tcW w:w="0" w:type="auto"/>
            <w:vMerge/>
            <w:tcBorders>
              <w:top w:val="nil"/>
              <w:left w:val="nil"/>
              <w:bottom w:val="single" w:sz="4" w:space="0" w:color="auto"/>
              <w:right w:val="nil"/>
            </w:tcBorders>
            <w:vAlign w:val="center"/>
            <w:hideMark/>
          </w:tcPr>
          <w:p w14:paraId="7602BE90" w14:textId="77777777" w:rsidR="00CB586B" w:rsidRPr="00CB586B" w:rsidRDefault="00CB586B" w:rsidP="00CB586B">
            <w:pPr>
              <w:widowControl/>
              <w:suppressAutoHyphens w:val="0"/>
              <w:rPr>
                <w:rFonts w:ascii="Calibri" w:eastAsia="Calibri" w:hAnsi="Calibri" w:cs="Times New Roman"/>
                <w:kern w:val="0"/>
                <w:lang w:eastAsia="en-US" w:bidi="ar-SA"/>
              </w:rPr>
            </w:pPr>
          </w:p>
        </w:tc>
        <w:tc>
          <w:tcPr>
            <w:tcW w:w="7338" w:type="dxa"/>
            <w:tcBorders>
              <w:top w:val="nil"/>
              <w:left w:val="nil"/>
              <w:bottom w:val="nil"/>
              <w:right w:val="nil"/>
            </w:tcBorders>
            <w:hideMark/>
          </w:tcPr>
          <w:p w14:paraId="6255999D" w14:textId="77777777" w:rsidR="00CB586B" w:rsidRPr="00CB586B" w:rsidRDefault="00CB586B" w:rsidP="00CB586B">
            <w:pPr>
              <w:widowControl/>
              <w:shd w:val="solid" w:color="FFFFFF" w:fill="FFFFFF"/>
              <w:suppressAutoHyphens w:val="0"/>
              <w:spacing w:line="276" w:lineRule="auto"/>
              <w:jc w:val="center"/>
              <w:rPr>
                <w:rFonts w:eastAsia="Calibri" w:cs="Times New Roman"/>
                <w:kern w:val="0"/>
                <w:sz w:val="24"/>
                <w:szCs w:val="24"/>
                <w:lang w:eastAsia="en-US" w:bidi="ar-SA"/>
              </w:rPr>
            </w:pPr>
            <w:r w:rsidRPr="00CB586B">
              <w:rPr>
                <w:rFonts w:eastAsia="Calibri" w:cs="Times New Roman"/>
                <w:kern w:val="0"/>
                <w:sz w:val="24"/>
                <w:szCs w:val="24"/>
                <w:lang w:eastAsia="en-US" w:bidi="ar-SA"/>
              </w:rPr>
              <w:t xml:space="preserve">Reģistrācijas numurs </w:t>
            </w:r>
            <w:r w:rsidRPr="00CB586B">
              <w:rPr>
                <w:rFonts w:eastAsia="Calibri" w:cs="Times New Roman"/>
                <w:color w:val="000000"/>
                <w:kern w:val="0"/>
                <w:sz w:val="24"/>
                <w:szCs w:val="24"/>
                <w:lang w:eastAsia="en-US" w:bidi="lo-LA"/>
              </w:rPr>
              <w:t>90000054572</w:t>
            </w:r>
          </w:p>
        </w:tc>
      </w:tr>
      <w:tr w:rsidR="00CB586B" w:rsidRPr="00CB586B" w14:paraId="7FA4C84F" w14:textId="77777777" w:rsidTr="00001BB9">
        <w:tc>
          <w:tcPr>
            <w:tcW w:w="0" w:type="auto"/>
            <w:vMerge/>
            <w:tcBorders>
              <w:top w:val="nil"/>
              <w:left w:val="nil"/>
              <w:bottom w:val="single" w:sz="4" w:space="0" w:color="auto"/>
              <w:right w:val="nil"/>
            </w:tcBorders>
            <w:vAlign w:val="center"/>
            <w:hideMark/>
          </w:tcPr>
          <w:p w14:paraId="6F503BB2" w14:textId="77777777" w:rsidR="00CB586B" w:rsidRPr="00CB586B" w:rsidRDefault="00CB586B" w:rsidP="00CB586B">
            <w:pPr>
              <w:widowControl/>
              <w:suppressAutoHyphens w:val="0"/>
              <w:rPr>
                <w:rFonts w:ascii="Calibri" w:eastAsia="Calibri" w:hAnsi="Calibri" w:cs="Times New Roman"/>
                <w:kern w:val="0"/>
                <w:lang w:eastAsia="en-US" w:bidi="ar-SA"/>
              </w:rPr>
            </w:pPr>
          </w:p>
        </w:tc>
        <w:tc>
          <w:tcPr>
            <w:tcW w:w="7338" w:type="dxa"/>
            <w:tcBorders>
              <w:top w:val="nil"/>
              <w:left w:val="nil"/>
              <w:bottom w:val="nil"/>
              <w:right w:val="nil"/>
            </w:tcBorders>
            <w:hideMark/>
          </w:tcPr>
          <w:p w14:paraId="740F07A2" w14:textId="77777777" w:rsidR="00CB586B" w:rsidRPr="00CB586B" w:rsidRDefault="00CB586B" w:rsidP="00CB586B">
            <w:pPr>
              <w:widowControl/>
              <w:shd w:val="solid" w:color="FFFFFF" w:fill="FFFFFF"/>
              <w:tabs>
                <w:tab w:val="left" w:pos="720"/>
                <w:tab w:val="center" w:pos="4153"/>
                <w:tab w:val="right" w:pos="8306"/>
              </w:tabs>
              <w:suppressAutoHyphens w:val="0"/>
              <w:spacing w:line="276" w:lineRule="auto"/>
              <w:jc w:val="center"/>
              <w:rPr>
                <w:rFonts w:eastAsia="Calibri" w:cs="Times New Roman"/>
                <w:kern w:val="0"/>
                <w:sz w:val="24"/>
                <w:szCs w:val="24"/>
                <w:lang w:eastAsia="en-US" w:bidi="ar-SA"/>
              </w:rPr>
            </w:pPr>
            <w:r w:rsidRPr="00CB586B">
              <w:rPr>
                <w:rFonts w:eastAsia="Calibri" w:cs="Times New Roman"/>
                <w:kern w:val="0"/>
                <w:sz w:val="24"/>
                <w:szCs w:val="24"/>
                <w:lang w:eastAsia="en-US" w:bidi="ar-SA"/>
              </w:rPr>
              <w:t>Saieta laukums 1, Madona, Madonas novads, LV-4801</w:t>
            </w:r>
          </w:p>
        </w:tc>
      </w:tr>
      <w:tr w:rsidR="00CB586B" w:rsidRPr="00CB586B" w14:paraId="2392D55A" w14:textId="77777777" w:rsidTr="00001BB9">
        <w:tc>
          <w:tcPr>
            <w:tcW w:w="0" w:type="auto"/>
            <w:vMerge/>
            <w:tcBorders>
              <w:top w:val="nil"/>
              <w:left w:val="nil"/>
              <w:bottom w:val="single" w:sz="4" w:space="0" w:color="auto"/>
              <w:right w:val="nil"/>
            </w:tcBorders>
            <w:vAlign w:val="center"/>
            <w:hideMark/>
          </w:tcPr>
          <w:p w14:paraId="6FA585A4" w14:textId="77777777" w:rsidR="00CB586B" w:rsidRPr="00CB586B" w:rsidRDefault="00CB586B" w:rsidP="00CB586B">
            <w:pPr>
              <w:widowControl/>
              <w:suppressAutoHyphens w:val="0"/>
              <w:rPr>
                <w:rFonts w:ascii="Calibri" w:eastAsia="Calibri" w:hAnsi="Calibri" w:cs="Times New Roman"/>
                <w:kern w:val="0"/>
                <w:lang w:eastAsia="en-US" w:bidi="ar-SA"/>
              </w:rPr>
            </w:pPr>
          </w:p>
        </w:tc>
        <w:tc>
          <w:tcPr>
            <w:tcW w:w="7338" w:type="dxa"/>
            <w:tcBorders>
              <w:top w:val="nil"/>
              <w:left w:val="nil"/>
              <w:bottom w:val="nil"/>
              <w:right w:val="nil"/>
            </w:tcBorders>
            <w:hideMark/>
          </w:tcPr>
          <w:p w14:paraId="3C04EA07" w14:textId="77777777" w:rsidR="00CB586B" w:rsidRPr="00CB586B" w:rsidRDefault="00CB586B" w:rsidP="00CB586B">
            <w:pPr>
              <w:widowControl/>
              <w:suppressAutoHyphens w:val="0"/>
              <w:jc w:val="center"/>
              <w:rPr>
                <w:rFonts w:eastAsia="Times New Roman" w:cs="Times New Roman"/>
                <w:color w:val="00FF00"/>
                <w:kern w:val="0"/>
                <w:sz w:val="24"/>
                <w:szCs w:val="24"/>
                <w:lang w:eastAsia="lv-LV" w:bidi="ar-SA"/>
              </w:rPr>
            </w:pPr>
            <w:r w:rsidRPr="00CB586B">
              <w:rPr>
                <w:rFonts w:eastAsia="Calibri" w:cs="Times New Roman"/>
                <w:color w:val="000000"/>
                <w:kern w:val="0"/>
                <w:sz w:val="24"/>
                <w:szCs w:val="24"/>
                <w:lang w:eastAsia="en-US" w:bidi="ar-SA"/>
              </w:rPr>
              <w:t>Tālrunis 64860090, e-pasts pasts@madona.lv</w:t>
            </w:r>
          </w:p>
        </w:tc>
      </w:tr>
      <w:tr w:rsidR="00CB586B" w:rsidRPr="00CB586B" w14:paraId="28A6C203" w14:textId="77777777" w:rsidTr="00001BB9">
        <w:tc>
          <w:tcPr>
            <w:tcW w:w="0" w:type="auto"/>
            <w:vMerge/>
            <w:tcBorders>
              <w:top w:val="nil"/>
              <w:left w:val="nil"/>
              <w:bottom w:val="single" w:sz="4" w:space="0" w:color="auto"/>
              <w:right w:val="nil"/>
            </w:tcBorders>
            <w:vAlign w:val="center"/>
            <w:hideMark/>
          </w:tcPr>
          <w:p w14:paraId="530FAA1F" w14:textId="77777777" w:rsidR="00CB586B" w:rsidRPr="00CB586B" w:rsidRDefault="00CB586B" w:rsidP="00CB586B">
            <w:pPr>
              <w:widowControl/>
              <w:suppressAutoHyphens w:val="0"/>
              <w:rPr>
                <w:rFonts w:ascii="Calibri" w:eastAsia="Calibri" w:hAnsi="Calibri" w:cs="Times New Roman"/>
                <w:kern w:val="0"/>
                <w:lang w:eastAsia="en-US" w:bidi="ar-SA"/>
              </w:rPr>
            </w:pPr>
          </w:p>
        </w:tc>
        <w:tc>
          <w:tcPr>
            <w:tcW w:w="7338" w:type="dxa"/>
            <w:tcBorders>
              <w:top w:val="nil"/>
              <w:left w:val="nil"/>
              <w:bottom w:val="single" w:sz="4" w:space="0" w:color="auto"/>
              <w:right w:val="nil"/>
            </w:tcBorders>
          </w:tcPr>
          <w:p w14:paraId="1AFE4B98" w14:textId="77777777" w:rsidR="00CB586B" w:rsidRPr="00CB586B" w:rsidRDefault="00CB586B" w:rsidP="00CB586B">
            <w:pPr>
              <w:widowControl/>
              <w:suppressAutoHyphens w:val="0"/>
              <w:rPr>
                <w:rFonts w:ascii="Calibri" w:eastAsia="Calibri" w:hAnsi="Calibri" w:cs="Times New Roman"/>
                <w:kern w:val="0"/>
                <w:lang w:eastAsia="en-US" w:bidi="ar-SA"/>
              </w:rPr>
            </w:pPr>
          </w:p>
        </w:tc>
      </w:tr>
    </w:tbl>
    <w:p w14:paraId="206DC4FC" w14:textId="77777777" w:rsidR="00CB586B" w:rsidRPr="00CB586B" w:rsidRDefault="00CB586B" w:rsidP="00CB586B">
      <w:pPr>
        <w:widowControl/>
        <w:suppressAutoHyphens w:val="0"/>
        <w:rPr>
          <w:rFonts w:eastAsia="Times New Roman" w:cs="Times New Roman"/>
          <w:b/>
          <w:bCs/>
          <w:caps/>
          <w:color w:val="000000"/>
          <w:kern w:val="0"/>
          <w:lang w:eastAsia="lv-LV" w:bidi="lo-LA"/>
        </w:rPr>
      </w:pPr>
    </w:p>
    <w:p w14:paraId="2E2AAD7F" w14:textId="77777777" w:rsidR="00CB586B" w:rsidRPr="00CB586B" w:rsidRDefault="00CB586B" w:rsidP="00CB586B">
      <w:pPr>
        <w:widowControl/>
        <w:suppressAutoHyphens w:val="0"/>
        <w:jc w:val="center"/>
        <w:rPr>
          <w:rFonts w:eastAsia="Times New Roman" w:cs="Times New Roman"/>
          <w:b/>
          <w:bCs/>
          <w:caps/>
          <w:color w:val="000000"/>
          <w:kern w:val="0"/>
          <w:lang w:eastAsia="lv-LV" w:bidi="lo-LA"/>
        </w:rPr>
      </w:pPr>
      <w:r w:rsidRPr="00CB586B">
        <w:rPr>
          <w:rFonts w:eastAsia="Times New Roman" w:cs="Times New Roman"/>
          <w:b/>
          <w:bCs/>
          <w:caps/>
          <w:color w:val="000000"/>
          <w:kern w:val="0"/>
          <w:lang w:eastAsia="lv-LV" w:bidi="lo-LA"/>
        </w:rPr>
        <w:t>MADONAS NOVADA PAŠVALDĪBAS DOMES</w:t>
      </w:r>
    </w:p>
    <w:p w14:paraId="364EB296" w14:textId="77777777" w:rsidR="00CB586B" w:rsidRPr="00CB586B" w:rsidRDefault="00CB586B" w:rsidP="00CB586B">
      <w:pPr>
        <w:widowControl/>
        <w:suppressAutoHyphens w:val="0"/>
        <w:jc w:val="center"/>
        <w:rPr>
          <w:rFonts w:eastAsia="Times New Roman" w:cs="Times New Roman"/>
          <w:b/>
          <w:bCs/>
          <w:caps/>
          <w:color w:val="000000"/>
          <w:kern w:val="0"/>
          <w:lang w:eastAsia="lv-LV" w:bidi="lo-LA"/>
        </w:rPr>
      </w:pPr>
      <w:r w:rsidRPr="00CB586B">
        <w:rPr>
          <w:rFonts w:eastAsia="Times New Roman" w:cs="Times New Roman"/>
          <w:b/>
          <w:bCs/>
          <w:caps/>
          <w:color w:val="000000"/>
          <w:kern w:val="0"/>
          <w:lang w:eastAsia="lv-LV" w:bidi="lo-LA"/>
        </w:rPr>
        <w:t>LĒMUMS</w:t>
      </w:r>
    </w:p>
    <w:p w14:paraId="0425E8FB" w14:textId="77777777" w:rsidR="00CB586B" w:rsidRPr="00CB586B" w:rsidRDefault="00CB586B" w:rsidP="00CB586B">
      <w:pPr>
        <w:widowControl/>
        <w:suppressAutoHyphens w:val="0"/>
        <w:jc w:val="center"/>
        <w:rPr>
          <w:rFonts w:eastAsia="Times New Roman" w:cs="Times New Roman"/>
          <w:color w:val="000000"/>
          <w:kern w:val="0"/>
          <w:lang w:eastAsia="lv-LV" w:bidi="lo-LA"/>
        </w:rPr>
      </w:pPr>
      <w:r w:rsidRPr="00CB586B">
        <w:rPr>
          <w:rFonts w:eastAsia="Times New Roman" w:cs="Times New Roman"/>
          <w:color w:val="000000"/>
          <w:kern w:val="0"/>
          <w:lang w:eastAsia="lv-LV" w:bidi="lo-LA"/>
        </w:rPr>
        <w:t>Madonā</w:t>
      </w:r>
    </w:p>
    <w:p w14:paraId="3D679969" w14:textId="77777777" w:rsidR="00CB586B" w:rsidRPr="00CB586B" w:rsidRDefault="00CB586B" w:rsidP="00CB586B">
      <w:pPr>
        <w:widowControl/>
        <w:suppressAutoHyphens w:val="0"/>
        <w:jc w:val="center"/>
        <w:rPr>
          <w:rFonts w:eastAsia="Times New Roman" w:cs="Times New Roman"/>
          <w:color w:val="000000"/>
          <w:kern w:val="0"/>
          <w:lang w:eastAsia="lv-LV" w:bidi="lo-LA"/>
        </w:rPr>
      </w:pPr>
    </w:p>
    <w:p w14:paraId="4A751BC6" w14:textId="61FAAFBD" w:rsidR="00CB586B" w:rsidRPr="00CB586B" w:rsidRDefault="00CB586B" w:rsidP="00CB586B">
      <w:pPr>
        <w:keepNext/>
        <w:widowControl/>
        <w:tabs>
          <w:tab w:val="left" w:pos="720"/>
          <w:tab w:val="left" w:pos="1440"/>
          <w:tab w:val="left" w:pos="2160"/>
          <w:tab w:val="left" w:pos="2880"/>
          <w:tab w:val="left" w:pos="3600"/>
          <w:tab w:val="left" w:pos="4320"/>
          <w:tab w:val="left" w:pos="5040"/>
          <w:tab w:val="left" w:pos="5760"/>
          <w:tab w:val="left" w:pos="6480"/>
          <w:tab w:val="left" w:pos="7200"/>
          <w:tab w:val="left" w:pos="7665"/>
        </w:tabs>
        <w:suppressAutoHyphens w:val="0"/>
        <w:jc w:val="both"/>
        <w:outlineLvl w:val="0"/>
        <w:rPr>
          <w:rFonts w:eastAsia="Arial Unicode MS" w:cs="Times New Roman"/>
          <w:b/>
          <w:kern w:val="0"/>
          <w:lang w:eastAsia="lv-LV" w:bidi="ar-SA"/>
        </w:rPr>
      </w:pPr>
      <w:r w:rsidRPr="00CB586B">
        <w:rPr>
          <w:rFonts w:eastAsia="Arial Unicode MS" w:cs="Times New Roman"/>
          <w:b/>
          <w:kern w:val="0"/>
          <w:lang w:eastAsia="lv-LV" w:bidi="ar-SA"/>
        </w:rPr>
        <w:t>2026. gada 29. septembrī</w:t>
      </w:r>
      <w:r w:rsidRPr="00CB586B">
        <w:rPr>
          <w:rFonts w:eastAsia="Arial Unicode MS" w:cs="Times New Roman"/>
          <w:b/>
          <w:kern w:val="0"/>
          <w:lang w:eastAsia="lv-LV" w:bidi="ar-SA"/>
        </w:rPr>
        <w:tab/>
      </w:r>
      <w:r w:rsidRPr="00CB586B">
        <w:rPr>
          <w:rFonts w:eastAsia="Arial Unicode MS" w:cs="Times New Roman"/>
          <w:b/>
          <w:kern w:val="0"/>
          <w:lang w:eastAsia="lv-LV" w:bidi="ar-SA"/>
        </w:rPr>
        <w:tab/>
      </w:r>
      <w:r w:rsidRPr="00CB586B">
        <w:rPr>
          <w:rFonts w:eastAsia="Arial Unicode MS" w:cs="Times New Roman"/>
          <w:b/>
          <w:kern w:val="0"/>
          <w:lang w:eastAsia="lv-LV" w:bidi="ar-SA"/>
        </w:rPr>
        <w:tab/>
        <w:t xml:space="preserve">      </w:t>
      </w:r>
      <w:r w:rsidRPr="00CB586B">
        <w:rPr>
          <w:rFonts w:eastAsia="Arial Unicode MS" w:cs="Times New Roman"/>
          <w:b/>
          <w:kern w:val="0"/>
          <w:lang w:eastAsia="lv-LV" w:bidi="ar-SA"/>
        </w:rPr>
        <w:tab/>
        <w:t xml:space="preserve">     </w:t>
      </w:r>
      <w:r w:rsidRPr="00CB586B">
        <w:rPr>
          <w:rFonts w:eastAsia="Arial Unicode MS" w:cs="Times New Roman"/>
          <w:b/>
          <w:kern w:val="0"/>
          <w:lang w:eastAsia="lv-LV" w:bidi="ar-SA"/>
        </w:rPr>
        <w:tab/>
      </w:r>
      <w:r w:rsidRPr="00CB586B">
        <w:rPr>
          <w:rFonts w:eastAsia="Arial Unicode MS" w:cs="Times New Roman"/>
          <w:b/>
          <w:kern w:val="0"/>
          <w:lang w:eastAsia="lv-LV" w:bidi="ar-SA"/>
        </w:rPr>
        <w:tab/>
        <w:t xml:space="preserve">                             Nr. </w:t>
      </w:r>
      <w:r>
        <w:rPr>
          <w:rFonts w:eastAsia="Arial Unicode MS" w:cs="Times New Roman"/>
          <w:b/>
          <w:kern w:val="0"/>
          <w:lang w:eastAsia="lv-LV" w:bidi="ar-SA"/>
        </w:rPr>
        <w:t>581</w:t>
      </w:r>
    </w:p>
    <w:p w14:paraId="09B7517A" w14:textId="4E1C2F20" w:rsidR="00CB586B" w:rsidRPr="00CB586B" w:rsidRDefault="00CB586B" w:rsidP="00CB586B">
      <w:pPr>
        <w:keepNext/>
        <w:widowControl/>
        <w:tabs>
          <w:tab w:val="left" w:pos="720"/>
          <w:tab w:val="left" w:pos="1440"/>
          <w:tab w:val="left" w:pos="2160"/>
          <w:tab w:val="left" w:pos="2880"/>
          <w:tab w:val="left" w:pos="3600"/>
          <w:tab w:val="left" w:pos="4320"/>
          <w:tab w:val="left" w:pos="5040"/>
          <w:tab w:val="left" w:pos="5760"/>
          <w:tab w:val="left" w:pos="6480"/>
          <w:tab w:val="left" w:pos="7200"/>
          <w:tab w:val="left" w:pos="7665"/>
        </w:tabs>
        <w:suppressAutoHyphens w:val="0"/>
        <w:jc w:val="both"/>
        <w:outlineLvl w:val="0"/>
        <w:rPr>
          <w:rFonts w:eastAsia="Arial Unicode MS" w:cs="Times New Roman"/>
          <w:kern w:val="0"/>
          <w:lang w:eastAsia="lv-LV" w:bidi="ar-SA"/>
        </w:rPr>
      </w:pPr>
      <w:r w:rsidRPr="00CB586B">
        <w:rPr>
          <w:rFonts w:eastAsia="Arial Unicode MS" w:cs="Times New Roman"/>
          <w:b/>
          <w:kern w:val="0"/>
          <w:lang w:eastAsia="lv-LV" w:bidi="ar-SA"/>
        </w:rPr>
        <w:tab/>
      </w:r>
      <w:r w:rsidRPr="00CB586B">
        <w:rPr>
          <w:rFonts w:eastAsia="Arial Unicode MS" w:cs="Times New Roman"/>
          <w:b/>
          <w:kern w:val="0"/>
          <w:lang w:eastAsia="lv-LV" w:bidi="ar-SA"/>
        </w:rPr>
        <w:tab/>
      </w:r>
      <w:r w:rsidRPr="00CB586B">
        <w:rPr>
          <w:rFonts w:eastAsia="Arial Unicode MS" w:cs="Times New Roman"/>
          <w:b/>
          <w:kern w:val="0"/>
          <w:lang w:eastAsia="lv-LV" w:bidi="ar-SA"/>
        </w:rPr>
        <w:tab/>
      </w:r>
      <w:r w:rsidRPr="00CB586B">
        <w:rPr>
          <w:rFonts w:eastAsia="Arial Unicode MS" w:cs="Times New Roman"/>
          <w:b/>
          <w:kern w:val="0"/>
          <w:lang w:eastAsia="lv-LV" w:bidi="ar-SA"/>
        </w:rPr>
        <w:tab/>
      </w:r>
      <w:r w:rsidRPr="00CB586B">
        <w:rPr>
          <w:rFonts w:eastAsia="Arial Unicode MS" w:cs="Times New Roman"/>
          <w:b/>
          <w:kern w:val="0"/>
          <w:lang w:eastAsia="lv-LV" w:bidi="ar-SA"/>
        </w:rPr>
        <w:tab/>
      </w:r>
      <w:r w:rsidRPr="00CB586B">
        <w:rPr>
          <w:rFonts w:eastAsia="Arial Unicode MS" w:cs="Times New Roman"/>
          <w:b/>
          <w:kern w:val="0"/>
          <w:lang w:eastAsia="lv-LV" w:bidi="ar-SA"/>
        </w:rPr>
        <w:tab/>
      </w:r>
      <w:r w:rsidRPr="00CB586B">
        <w:rPr>
          <w:rFonts w:eastAsia="Arial Unicode MS" w:cs="Times New Roman"/>
          <w:b/>
          <w:kern w:val="0"/>
          <w:lang w:eastAsia="lv-LV" w:bidi="ar-SA"/>
        </w:rPr>
        <w:tab/>
      </w:r>
      <w:r w:rsidRPr="00CB586B">
        <w:rPr>
          <w:rFonts w:eastAsia="Arial Unicode MS" w:cs="Times New Roman"/>
          <w:b/>
          <w:kern w:val="0"/>
          <w:lang w:eastAsia="lv-LV" w:bidi="ar-SA"/>
        </w:rPr>
        <w:tab/>
        <w:t xml:space="preserve">               </w:t>
      </w:r>
      <w:r w:rsidRPr="00CB586B">
        <w:rPr>
          <w:rFonts w:eastAsia="Arial Unicode MS" w:cs="Times New Roman"/>
          <w:kern w:val="0"/>
          <w:lang w:eastAsia="lv-LV" w:bidi="ar-SA"/>
        </w:rPr>
        <w:t xml:space="preserve">(protokols Nr. </w:t>
      </w:r>
      <w:r>
        <w:rPr>
          <w:rFonts w:eastAsia="Arial Unicode MS" w:cs="Times New Roman"/>
          <w:kern w:val="0"/>
          <w:lang w:eastAsia="lv-LV" w:bidi="ar-SA"/>
        </w:rPr>
        <w:t>13</w:t>
      </w:r>
      <w:r w:rsidRPr="00CB586B">
        <w:rPr>
          <w:rFonts w:eastAsia="Arial Unicode MS" w:cs="Times New Roman"/>
          <w:kern w:val="0"/>
          <w:lang w:eastAsia="lv-LV" w:bidi="ar-SA"/>
        </w:rPr>
        <w:t>,</w:t>
      </w:r>
      <w:r>
        <w:rPr>
          <w:rFonts w:eastAsia="Arial Unicode MS" w:cs="Times New Roman"/>
          <w:kern w:val="0"/>
          <w:lang w:eastAsia="lv-LV" w:bidi="ar-SA"/>
        </w:rPr>
        <w:t xml:space="preserve"> 66</w:t>
      </w:r>
      <w:r w:rsidRPr="00CB586B">
        <w:rPr>
          <w:rFonts w:eastAsia="Arial Unicode MS" w:cs="Times New Roman"/>
          <w:kern w:val="0"/>
          <w:lang w:eastAsia="lv-LV" w:bidi="ar-SA"/>
        </w:rPr>
        <w:t>. p.)</w:t>
      </w:r>
    </w:p>
    <w:p w14:paraId="1032A6FA" w14:textId="77777777" w:rsidR="00CB586B" w:rsidRDefault="00CB586B" w:rsidP="00CB586B">
      <w:pPr>
        <w:jc w:val="both"/>
        <w:rPr>
          <w:rFonts w:eastAsia="Arial Unicode MS" w:cs="Arial Unicode MS"/>
          <w:b/>
        </w:rPr>
      </w:pPr>
    </w:p>
    <w:p w14:paraId="0768259E" w14:textId="73DA13B3" w:rsidR="00CB586B" w:rsidRDefault="00CB586B" w:rsidP="00CB586B">
      <w:pPr>
        <w:jc w:val="both"/>
        <w:rPr>
          <w:rFonts w:eastAsia="Calibri" w:cs="Times New Roman"/>
          <w:i/>
        </w:rPr>
      </w:pPr>
      <w:r>
        <w:rPr>
          <w:rFonts w:eastAsia="Arial Unicode MS" w:cs="Arial Unicode MS"/>
          <w:b/>
        </w:rPr>
        <w:t>Par nekustamā īpašuma “</w:t>
      </w:r>
      <w:proofErr w:type="spellStart"/>
      <w:r>
        <w:rPr>
          <w:rFonts w:eastAsia="Arial Unicode MS" w:cs="Arial Unicode MS"/>
          <w:b/>
        </w:rPr>
        <w:t>Jaunžagari</w:t>
      </w:r>
      <w:proofErr w:type="spellEnd"/>
      <w:r>
        <w:rPr>
          <w:rFonts w:eastAsia="Arial Unicode MS" w:cs="Arial Unicode MS"/>
          <w:b/>
        </w:rPr>
        <w:t>”, Aronas pagasts, Madonas novads,  atsavināšanu</w:t>
      </w:r>
    </w:p>
    <w:p w14:paraId="38D38705" w14:textId="77777777" w:rsidR="00CB586B" w:rsidRDefault="00CB586B" w:rsidP="00CB586B">
      <w:pPr>
        <w:spacing w:before="60"/>
        <w:rPr>
          <w:rFonts w:eastAsia="Times New Roman"/>
        </w:rPr>
      </w:pPr>
    </w:p>
    <w:p w14:paraId="25EF91A0" w14:textId="211F8D9B" w:rsidR="00CB586B" w:rsidRPr="000419E1" w:rsidRDefault="00CB586B" w:rsidP="00CB586B">
      <w:pPr>
        <w:jc w:val="both"/>
        <w:rPr>
          <w:rFonts w:cs="Times New Roman"/>
          <w:lang w:eastAsia="ar-SA" w:bidi="ar-SA"/>
        </w:rPr>
      </w:pPr>
      <w:r>
        <w:rPr>
          <w:rFonts w:eastAsia="Times New Roman"/>
        </w:rPr>
        <w:t xml:space="preserve">     </w:t>
      </w:r>
      <w:r>
        <w:rPr>
          <w:rFonts w:eastAsia="Times New Roman"/>
        </w:rPr>
        <w:tab/>
        <w:t xml:space="preserve">Madonas novada pašvaldībā 2024.gada 28.augustā domes sēdē pieņemts lēmums Nr.491 (protokols Nr.18, 4.p.), </w:t>
      </w:r>
      <w:r>
        <w:rPr>
          <w:rFonts w:cs="Times New Roman"/>
          <w:lang w:eastAsia="ar-SA" w:bidi="ar-SA"/>
        </w:rPr>
        <w:t>ar kuru nolemts nodot atsavināšanai nekustamo īpašumu “</w:t>
      </w:r>
      <w:proofErr w:type="spellStart"/>
      <w:r>
        <w:rPr>
          <w:rFonts w:cs="Times New Roman"/>
          <w:lang w:eastAsia="ar-SA" w:bidi="ar-SA"/>
        </w:rPr>
        <w:t>Jaunžagari</w:t>
      </w:r>
      <w:proofErr w:type="spellEnd"/>
      <w:r>
        <w:rPr>
          <w:rFonts w:cs="Times New Roman"/>
          <w:lang w:eastAsia="ar-SA" w:bidi="ar-SA"/>
        </w:rPr>
        <w:t xml:space="preserve">”, Aronas pagastā,  Madonas novadā, ar kadastra Nr.7042 008 0247, ēku īpašniecei. </w:t>
      </w:r>
    </w:p>
    <w:p w14:paraId="72B2738D" w14:textId="77777777" w:rsidR="00CB586B" w:rsidRDefault="00CB586B" w:rsidP="00CB586B">
      <w:pPr>
        <w:pStyle w:val="Sarakstarindkopa1"/>
        <w:spacing w:after="0" w:line="240" w:lineRule="auto"/>
        <w:ind w:left="0"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Ir veikta nekustamā īpašuma novērtēšana.</w:t>
      </w:r>
    </w:p>
    <w:p w14:paraId="4307CC8D" w14:textId="77777777" w:rsidR="00CB586B" w:rsidRPr="000419E1" w:rsidRDefault="00CB586B" w:rsidP="00CB586B">
      <w:pPr>
        <w:widowControl/>
        <w:jc w:val="both"/>
        <w:rPr>
          <w:rFonts w:eastAsia="Times New Roman" w:cs="Times New Roman"/>
          <w:lang w:eastAsia="lo-LA" w:bidi="lo-LA"/>
        </w:rPr>
      </w:pPr>
      <w:r w:rsidRPr="005C56D3">
        <w:rPr>
          <w:rFonts w:eastAsia="Times New Roman" w:cs="Times New Roman"/>
          <w:lang w:eastAsia="lo-LA" w:bidi="lo-LA"/>
        </w:rPr>
        <w:t xml:space="preserve">    </w:t>
      </w:r>
      <w:r>
        <w:rPr>
          <w:rFonts w:eastAsia="Times New Roman" w:cs="Times New Roman"/>
          <w:lang w:eastAsia="lo-LA" w:bidi="lo-LA"/>
        </w:rPr>
        <w:tab/>
      </w:r>
      <w:r w:rsidRPr="005C56D3">
        <w:rPr>
          <w:rFonts w:eastAsia="Times New Roman" w:cs="Times New Roman"/>
          <w:lang w:eastAsia="lo-LA" w:bidi="lo-LA"/>
        </w:rPr>
        <w:t xml:space="preserve">Atbilstoši sertificēta vērtētāja </w:t>
      </w:r>
      <w:r>
        <w:rPr>
          <w:rFonts w:eastAsia="Calibri"/>
          <w:lang w:eastAsia="en-US"/>
        </w:rPr>
        <w:t xml:space="preserve">SIA “DZIETI” reģistrācijas Nr. 42403010964 (LĪVA profesionālās kvalifikācijas sertifikāts Nr.83). </w:t>
      </w:r>
      <w:r w:rsidRPr="005C56D3">
        <w:rPr>
          <w:rFonts w:eastAsia="Times New Roman" w:cs="Times New Roman"/>
          <w:lang w:eastAsia="lo-LA" w:bidi="lo-LA"/>
        </w:rPr>
        <w:t xml:space="preserve"> 202</w:t>
      </w:r>
      <w:r>
        <w:rPr>
          <w:rFonts w:eastAsia="Times New Roman" w:cs="Times New Roman"/>
          <w:lang w:eastAsia="lo-LA" w:bidi="lo-LA"/>
        </w:rPr>
        <w:t>6</w:t>
      </w:r>
      <w:r w:rsidRPr="005C56D3">
        <w:rPr>
          <w:rFonts w:eastAsia="Times New Roman" w:cs="Times New Roman"/>
          <w:lang w:eastAsia="lo-LA" w:bidi="lo-LA"/>
        </w:rPr>
        <w:t xml:space="preserve">.gada </w:t>
      </w:r>
      <w:r>
        <w:rPr>
          <w:rFonts w:eastAsia="Times New Roman" w:cs="Times New Roman"/>
          <w:lang w:eastAsia="lo-LA" w:bidi="lo-LA"/>
        </w:rPr>
        <w:t>24</w:t>
      </w:r>
      <w:r w:rsidRPr="005C56D3">
        <w:rPr>
          <w:rFonts w:eastAsia="Times New Roman" w:cs="Times New Roman"/>
          <w:lang w:eastAsia="lo-LA" w:bidi="lo-LA"/>
        </w:rPr>
        <w:t>.</w:t>
      </w:r>
      <w:r>
        <w:rPr>
          <w:rFonts w:eastAsia="Times New Roman" w:cs="Times New Roman"/>
          <w:lang w:eastAsia="lo-LA" w:bidi="lo-LA"/>
        </w:rPr>
        <w:t>augusta</w:t>
      </w:r>
      <w:r w:rsidRPr="005C56D3">
        <w:rPr>
          <w:rFonts w:eastAsia="Times New Roman" w:cs="Times New Roman"/>
          <w:lang w:eastAsia="lo-LA" w:bidi="lo-LA"/>
        </w:rPr>
        <w:t xml:space="preserve"> novērtējumam, nekustamā īpašuma tirgus vērtība noteikta – EUR </w:t>
      </w:r>
      <w:r w:rsidRPr="000419E1">
        <w:rPr>
          <w:rFonts w:eastAsia="Times New Roman" w:cs="Times New Roman"/>
          <w:bCs/>
          <w:lang w:eastAsia="lo-LA" w:bidi="lo-LA"/>
        </w:rPr>
        <w:t>4 800,00</w:t>
      </w:r>
      <w:r>
        <w:rPr>
          <w:rFonts w:eastAsia="Times New Roman" w:cs="Times New Roman"/>
          <w:b/>
          <w:lang w:eastAsia="lo-LA" w:bidi="lo-LA"/>
        </w:rPr>
        <w:t xml:space="preserve"> </w:t>
      </w:r>
      <w:r w:rsidRPr="005C56D3">
        <w:rPr>
          <w:rFonts w:eastAsia="Times New Roman" w:cs="Times New Roman"/>
          <w:lang w:eastAsia="lo-LA" w:bidi="lo-LA"/>
        </w:rPr>
        <w:t>(</w:t>
      </w:r>
      <w:r>
        <w:rPr>
          <w:rFonts w:eastAsia="Times New Roman" w:cs="Times New Roman"/>
          <w:i/>
          <w:lang w:eastAsia="lo-LA" w:bidi="lo-LA"/>
        </w:rPr>
        <w:t>četri tūkstoši astoņi simti ei</w:t>
      </w:r>
      <w:r w:rsidRPr="005C56D3">
        <w:rPr>
          <w:rFonts w:eastAsia="Times New Roman" w:cs="Times New Roman"/>
          <w:i/>
          <w:lang w:eastAsia="lo-LA" w:bidi="lo-LA"/>
        </w:rPr>
        <w:t>ro ,00 centi</w:t>
      </w:r>
      <w:r>
        <w:rPr>
          <w:rFonts w:eastAsia="Times New Roman" w:cs="Times New Roman"/>
          <w:lang w:eastAsia="lo-LA" w:bidi="lo-LA"/>
        </w:rPr>
        <w:t>).</w:t>
      </w:r>
    </w:p>
    <w:p w14:paraId="1D3F1F75" w14:textId="77777777" w:rsidR="00CB586B" w:rsidRPr="005C56D3" w:rsidRDefault="00CB586B" w:rsidP="00CB586B">
      <w:pPr>
        <w:widowControl/>
        <w:ind w:firstLine="709"/>
        <w:jc w:val="both"/>
        <w:rPr>
          <w:rFonts w:eastAsia="Times New Roman" w:cs="Arial Unicode MS"/>
          <w:lang w:eastAsia="lo-LA" w:bidi="lo-LA"/>
        </w:rPr>
      </w:pPr>
      <w:r w:rsidRPr="005C56D3">
        <w:rPr>
          <w:rFonts w:eastAsia="Times New Roman" w:cs="Arial Unicode MS"/>
          <w:lang w:eastAsia="lo-LA" w:bidi="lo-LA"/>
        </w:rPr>
        <w:t xml:space="preserve">Saskaņā ar „Publiskas personas mantas atsavināšanas likuma” 47.pantu </w:t>
      </w:r>
      <w:r w:rsidRPr="005C56D3">
        <w:rPr>
          <w:rFonts w:eastAsia="Times New Roman" w:cs="Arial Unicode MS"/>
          <w:i/>
          <w:lang w:eastAsia="lo-LA" w:bidi="lo-LA"/>
        </w:rPr>
        <w:t>„publiskas personas mantas atsavināšanā iegūtos līdzekļus pēc atsavināšanas izdevumu segšanas ieskaita attiecīgas publiskās personas budžetā. Atsavināšanas izdevumu apmēru nosaka MK noteikumu paredzētajā kārtībā”.</w:t>
      </w:r>
    </w:p>
    <w:p w14:paraId="19A68401" w14:textId="77777777" w:rsidR="00CB586B" w:rsidRDefault="00CB586B" w:rsidP="00CB586B">
      <w:pPr>
        <w:jc w:val="both"/>
        <w:rPr>
          <w:rFonts w:eastAsia="Calibri" w:cs="Times New Roman"/>
        </w:rPr>
      </w:pPr>
      <w:r>
        <w:rPr>
          <w:rFonts w:eastAsia="Calibri" w:cs="Times New Roman"/>
          <w:lang w:eastAsia="ar-SA" w:bidi="ar-SA"/>
        </w:rPr>
        <w:t xml:space="preserve">      </w:t>
      </w:r>
      <w:r>
        <w:rPr>
          <w:rFonts w:eastAsia="Times New Roman" w:cs="Times New Roman"/>
        </w:rPr>
        <w:t xml:space="preserve"> </w:t>
      </w:r>
      <w:r>
        <w:rPr>
          <w:rFonts w:eastAsia="Times New Roman" w:cs="Times New Roman"/>
        </w:rPr>
        <w:tab/>
        <w:t xml:space="preserve">Atsavināšanas likuma 37. panta pirmās daļas 4. punkts nosaka, ka pārdot publiskas personas mantu par brīvu cenu var, ja nekustamo īpašumu iegūst šā likuma 4. panta ceturtajā daļā minētā persona. Šajā gadījumā pārdošanas cena ir vienāda ar nosacīto cenu. Pārdošana par brīvu cenu saskaņā ar Atsavināšanas likuma 1. panta 7. punktu ir mantas pārdošana par atsavinātāja noteiktu cenu, kas nav zemāka par nosacīto cenu, savukārt, nosacītā cena saskaņā ar tā paša likuma 1. panta 6. punktu ir nekustamā īpašuma vērtība, kas noteikta atbilstoši Standartizācijas likumā paredzētajā kārtībā apstiprinātajiem Latvijas īpašuma vērtēšanas standartiem.     </w:t>
      </w:r>
    </w:p>
    <w:p w14:paraId="0F2E7F24" w14:textId="77777777" w:rsidR="00CB586B" w:rsidRPr="00CB586B" w:rsidRDefault="00CB586B" w:rsidP="00CB586B">
      <w:pPr>
        <w:ind w:firstLine="720"/>
        <w:jc w:val="both"/>
        <w:rPr>
          <w:rFonts w:eastAsia="Calibri" w:cs="Times New Roman"/>
          <w:kern w:val="0"/>
          <w:lang w:eastAsia="en-US" w:bidi="ar-SA"/>
        </w:rPr>
      </w:pPr>
      <w:r w:rsidRPr="005C56D3">
        <w:rPr>
          <w:rFonts w:eastAsia="Times New Roman"/>
        </w:rPr>
        <w:t xml:space="preserve">Saskaņā ar “Pašvaldību likuma” 10.panta </w:t>
      </w:r>
      <w:r w:rsidRPr="005C56D3">
        <w:t xml:space="preserve">(1)daļu </w:t>
      </w:r>
      <w:r w:rsidRPr="005C56D3">
        <w:rPr>
          <w:i/>
        </w:rPr>
        <w:t>Dome ir tiesīga izlemt ikvienu pašvaldības kompetences jautājumu;</w:t>
      </w:r>
      <w:r w:rsidRPr="005C56D3">
        <w:rPr>
          <w:rFonts w:eastAsia="Calibri" w:cs="Times New Roman"/>
        </w:rPr>
        <w:t xml:space="preserve"> “Publiskās personas mantas atsavināšanas likuma</w:t>
      </w:r>
      <w:r w:rsidRPr="005C56D3">
        <w:rPr>
          <w:rFonts w:eastAsia="Calibri" w:cs="Times New Roman"/>
          <w:i/>
        </w:rPr>
        <w:t>” 4.panta pirmo daļu, kas nosaka, ka “atsavinātas publiskas personas mantas atsavināšanu var ierosināt, ja tā nav nepieciešama publiskai personai vai tās iestādēm to funkciju nodrošināšanai”</w:t>
      </w:r>
      <w:r w:rsidRPr="005C56D3">
        <w:rPr>
          <w:rFonts w:eastAsia="Calibri" w:cs="Times New Roman"/>
          <w:lang w:eastAsia="ar-SA" w:bidi="ar-SA"/>
        </w:rPr>
        <w:t xml:space="preserve"> </w:t>
      </w:r>
      <w:r w:rsidRPr="005C56D3">
        <w:rPr>
          <w:rFonts w:eastAsia="Calibri" w:cs="Times New Roman"/>
          <w:i/>
          <w:lang w:eastAsia="ar-SA" w:bidi="ar-SA"/>
        </w:rPr>
        <w:t xml:space="preserve">un </w:t>
      </w:r>
      <w:r>
        <w:rPr>
          <w:rFonts w:eastAsia="Times New Roman"/>
        </w:rPr>
        <w:t>4.panta ceturtās daļas 3.punktu</w:t>
      </w:r>
      <w:r>
        <w:rPr>
          <w:rFonts w:eastAsia="Times New Roman"/>
          <w:i/>
          <w:iCs/>
        </w:rPr>
        <w:t xml:space="preserve"> Atsevišķos gadījumos publiskas personas nekustamā īpašuma atsavināšanu var ierosināt </w:t>
      </w:r>
      <w:r>
        <w:rPr>
          <w:rFonts w:eastAsia="Times New Roman"/>
        </w:rPr>
        <w:t xml:space="preserve"> </w:t>
      </w:r>
      <w:r>
        <w:rPr>
          <w:rFonts w:eastAsia="Times New Roman"/>
          <w:i/>
          <w:iCs/>
        </w:rPr>
        <w:t xml:space="preserve">zemesgrāmatā ierakstītas ēkas (būves) īpašnieks vai visi kopīpašnieki, ja viņi vēlas nopirkt zemesgabalu, uz kura atrodas ēka (būve), </w:t>
      </w:r>
      <w:r>
        <w:rPr>
          <w:rFonts w:eastAsia="Times New Roman"/>
        </w:rPr>
        <w:t xml:space="preserve"> 5.panta pirmo daļu </w:t>
      </w:r>
      <w:r>
        <w:rPr>
          <w:rFonts w:eastAsia="Times New Roman"/>
          <w:i/>
        </w:rPr>
        <w:t>Atļauju atsavināt atvasinātu publisku personu nekustamo īpašumu dod attiecīgās atvasinātās publiskās personas lēmējinstitūcija</w:t>
      </w:r>
      <w:r>
        <w:rPr>
          <w:rFonts w:eastAsia="Times New Roman"/>
        </w:rPr>
        <w:t xml:space="preserve">, 37.panta pirmās daļas 4.punktu </w:t>
      </w:r>
      <w:r>
        <w:rPr>
          <w:rFonts w:eastAsia="Times New Roman"/>
          <w:i/>
          <w:iCs/>
        </w:rPr>
        <w:t xml:space="preserve">nekustamo īpašumu iegūst šā likuma </w:t>
      </w:r>
      <w:hyperlink r:id="rId8" w:anchor="p4" w:history="1">
        <w:r>
          <w:rPr>
            <w:rStyle w:val="Hipersaite"/>
            <w:rFonts w:eastAsia="Times New Roman"/>
            <w:i/>
            <w:iCs/>
          </w:rPr>
          <w:t>4.panta</w:t>
        </w:r>
      </w:hyperlink>
      <w:r>
        <w:rPr>
          <w:rFonts w:eastAsia="Times New Roman"/>
          <w:i/>
          <w:iCs/>
        </w:rPr>
        <w:t xml:space="preserve"> ceturtajā daļā minētā persona. Šajā gadījumā pārdošanas cena ir vienāda ar nosacīto cenu (</w:t>
      </w:r>
      <w:hyperlink r:id="rId9" w:anchor="p8" w:history="1">
        <w:r>
          <w:rPr>
            <w:rStyle w:val="Hipersaite"/>
            <w:rFonts w:eastAsia="Times New Roman"/>
            <w:i/>
            <w:iCs/>
          </w:rPr>
          <w:t>8.pants</w:t>
        </w:r>
      </w:hyperlink>
      <w:r>
        <w:rPr>
          <w:rFonts w:eastAsia="Times New Roman"/>
          <w:i/>
          <w:iCs/>
        </w:rPr>
        <w:t xml:space="preserve">); </w:t>
      </w:r>
      <w:r>
        <w:rPr>
          <w:rFonts w:eastAsia="Calibri" w:cs="Times New Roman"/>
        </w:rPr>
        <w:t xml:space="preserve">kā arī tā paša likuma 8.panta otro daļu, kas nosaka, ka paredzētā atsavinātas publiskas personas nekustamā īpašuma novērtēšanu organizē attiecīgās atsavinātās publiskās personas lēmējinstitūcijas kārtībā, </w:t>
      </w:r>
      <w:r>
        <w:rPr>
          <w:rFonts w:eastAsia="Calibri"/>
        </w:rPr>
        <w:t xml:space="preserve">ņemot vērā </w:t>
      </w:r>
      <w:r>
        <w:rPr>
          <w:rFonts w:eastAsia="Calibri"/>
        </w:rPr>
        <w:lastRenderedPageBreak/>
        <w:t xml:space="preserve">16.09.2026. Attīstības komitejas un 22.09.2026. Finanšu komitejas atzinumus, </w:t>
      </w:r>
      <w:r w:rsidRPr="00CB586B">
        <w:rPr>
          <w:rFonts w:eastAsia="Calibri" w:cs="Times New Roman"/>
          <w:b/>
          <w:kern w:val="2"/>
          <w:lang w:eastAsia="en-US" w:bidi="ar-SA"/>
          <w14:ligatures w14:val="standardContextual"/>
        </w:rPr>
        <w:t xml:space="preserve">atklāti balsojot: PAR – 17 </w:t>
      </w:r>
      <w:r w:rsidRPr="00CB586B">
        <w:rPr>
          <w:rFonts w:eastAsia="Calibri" w:cs="Times New Roman"/>
          <w:kern w:val="2"/>
          <w:lang w:eastAsia="en-US" w:bidi="ar-SA"/>
          <w14:ligatures w14:val="standardContextual"/>
        </w:rPr>
        <w:t>(</w:t>
      </w:r>
      <w:r w:rsidRPr="00CB586B">
        <w:rPr>
          <w:rFonts w:eastAsia="Calibri" w:cs="Times New Roman"/>
          <w:bCs/>
          <w:noProof/>
          <w:kern w:val="2"/>
          <w:lang w:eastAsia="en-US" w:bidi="ar-SA"/>
          <w14:ligatures w14:val="standardContextual"/>
        </w:rPr>
        <w:t>Agris Lungevičs, Aigars Šķēls, Aivis Masaļskis, Aivis Mitenieks, Andris Dombrovskis, Dace Ozoliņa, Egils Bērziņš, Gatis Teilis, Gunārs Ikaunieks, Guntis Klikučs, Janīna Grudule, Jānis Erels, Māris Justs, Māris Olte, Rūdolfs Medenis, Valda Kļaviņa, Zigfrīds Gora</w:t>
      </w:r>
      <w:r w:rsidRPr="00CB586B">
        <w:rPr>
          <w:rFonts w:eastAsia="Calibri" w:cs="Times New Roman"/>
          <w:bCs/>
          <w:kern w:val="2"/>
          <w:lang w:eastAsia="en-US" w:bidi="ar-SA"/>
          <w14:ligatures w14:val="standardContextual"/>
        </w:rPr>
        <w:t>)</w:t>
      </w:r>
      <w:r w:rsidRPr="00CB586B">
        <w:rPr>
          <w:rFonts w:eastAsia="Calibri" w:cs="Times New Roman"/>
          <w:kern w:val="2"/>
          <w:lang w:eastAsia="en-US" w:bidi="ar-SA"/>
          <w14:ligatures w14:val="standardContextual"/>
        </w:rPr>
        <w:t>,</w:t>
      </w:r>
      <w:r w:rsidRPr="00CB586B">
        <w:rPr>
          <w:rFonts w:eastAsia="Calibri" w:cs="Times New Roman"/>
          <w:b/>
          <w:kern w:val="2"/>
          <w:lang w:eastAsia="en-US" w:bidi="ar-SA"/>
          <w14:ligatures w14:val="standardContextual"/>
        </w:rPr>
        <w:t xml:space="preserve"> PRET </w:t>
      </w:r>
      <w:r w:rsidRPr="00CB586B">
        <w:rPr>
          <w:rFonts w:eastAsia="Calibri" w:cs="Times New Roman"/>
          <w:b/>
          <w:bCs/>
          <w:kern w:val="2"/>
          <w:lang w:eastAsia="en-US" w:bidi="ar-SA"/>
          <w14:ligatures w14:val="standardContextual"/>
        </w:rPr>
        <w:t>– NAV</w:t>
      </w:r>
      <w:r w:rsidRPr="00CB586B">
        <w:rPr>
          <w:rFonts w:eastAsia="Calibri" w:cs="Times New Roman"/>
          <w:b/>
          <w:kern w:val="2"/>
          <w:lang w:eastAsia="en-US" w:bidi="ar-SA"/>
          <w14:ligatures w14:val="standardContextual"/>
        </w:rPr>
        <w:t>, ATTURAS – NAV,</w:t>
      </w:r>
      <w:r w:rsidRPr="00CB586B">
        <w:rPr>
          <w:rFonts w:eastAsia="Calibri" w:cs="Times New Roman"/>
          <w:kern w:val="2"/>
          <w:lang w:eastAsia="en-US" w:bidi="ar-SA"/>
          <w14:ligatures w14:val="standardContextual"/>
        </w:rPr>
        <w:t xml:space="preserve"> Madonas novada pašvaldības dome </w:t>
      </w:r>
      <w:r w:rsidRPr="00CB586B">
        <w:rPr>
          <w:rFonts w:eastAsia="Calibri" w:cs="Times New Roman"/>
          <w:b/>
          <w:kern w:val="2"/>
          <w:lang w:eastAsia="en-US" w:bidi="ar-SA"/>
          <w14:ligatures w14:val="standardContextual"/>
        </w:rPr>
        <w:t>NOLEMJ:</w:t>
      </w:r>
      <w:r w:rsidRPr="00CB586B">
        <w:rPr>
          <w:rFonts w:eastAsia="Calibri" w:cs="Times New Roman"/>
          <w:b/>
          <w:kern w:val="2"/>
          <w14:ligatures w14:val="standardContextual"/>
        </w:rPr>
        <w:t xml:space="preserve">  </w:t>
      </w:r>
    </w:p>
    <w:p w14:paraId="6600459F" w14:textId="77777777" w:rsidR="00CB586B" w:rsidRDefault="00CB586B" w:rsidP="00CB586B">
      <w:pPr>
        <w:jc w:val="both"/>
        <w:rPr>
          <w:rFonts w:eastAsia="Calibri" w:cs="Times New Roman"/>
        </w:rPr>
      </w:pPr>
    </w:p>
    <w:p w14:paraId="337BCC17" w14:textId="39D3A752" w:rsidR="00CB586B" w:rsidRPr="000419E1" w:rsidRDefault="00CB586B" w:rsidP="00CB586B">
      <w:pPr>
        <w:numPr>
          <w:ilvl w:val="0"/>
          <w:numId w:val="1"/>
        </w:numPr>
        <w:jc w:val="both"/>
        <w:rPr>
          <w:rFonts w:eastAsia="Calibri" w:cs="Times New Roman"/>
        </w:rPr>
      </w:pPr>
      <w:r>
        <w:rPr>
          <w:rFonts w:eastAsia="Calibri" w:cs="Times New Roman"/>
        </w:rPr>
        <w:t>Atsavināt  nekustamo īpašumu “</w:t>
      </w:r>
      <w:proofErr w:type="spellStart"/>
      <w:r>
        <w:rPr>
          <w:rFonts w:eastAsia="Calibri" w:cs="Times New Roman"/>
        </w:rPr>
        <w:t>Jaunžagari</w:t>
      </w:r>
      <w:proofErr w:type="spellEnd"/>
      <w:r>
        <w:rPr>
          <w:rFonts w:eastAsia="Calibri" w:cs="Times New Roman"/>
        </w:rPr>
        <w:t xml:space="preserve">”, Aronas pagasts, Madonas novads, kadastra Nr. 7042 008 0247, kas sastāv no zemes vienības ar kadastra apzīmējumu 7042 008 0247, 2,090 ha kopplatībā, pārdodot to par nosacīto cenu </w:t>
      </w:r>
      <w:r w:rsidR="00DB525D">
        <w:rPr>
          <w:rFonts w:eastAsia="Calibri" w:cs="Times New Roman"/>
        </w:rPr>
        <w:t xml:space="preserve">[..]. </w:t>
      </w:r>
    </w:p>
    <w:p w14:paraId="2F515457" w14:textId="77777777" w:rsidR="00CB586B" w:rsidRPr="004B30CD" w:rsidRDefault="00CB586B" w:rsidP="00CB586B">
      <w:pPr>
        <w:numPr>
          <w:ilvl w:val="0"/>
          <w:numId w:val="1"/>
        </w:numPr>
        <w:jc w:val="both"/>
        <w:rPr>
          <w:rFonts w:eastAsia="Arial Unicode MS" w:cs="Arial Unicode MS"/>
          <w:i/>
        </w:rPr>
      </w:pPr>
      <w:r>
        <w:t>Apstiprināt</w:t>
      </w:r>
      <w:r w:rsidRPr="00572A22">
        <w:t xml:space="preserve"> nekustamā īpašuma nosacīto cenu EUR</w:t>
      </w:r>
      <w:r>
        <w:t xml:space="preserve"> 4 800</w:t>
      </w:r>
      <w:r w:rsidRPr="00572A22">
        <w:t>,00 (</w:t>
      </w:r>
      <w:r>
        <w:rPr>
          <w:i/>
        </w:rPr>
        <w:t xml:space="preserve">četri tūkstoši astoņi simti </w:t>
      </w:r>
      <w:r w:rsidRPr="004B30CD">
        <w:rPr>
          <w:i/>
          <w:iCs/>
        </w:rPr>
        <w:t>eiro, 00 centi).</w:t>
      </w:r>
    </w:p>
    <w:p w14:paraId="5E1D5A1B" w14:textId="77777777" w:rsidR="00CB586B" w:rsidRPr="00572A22" w:rsidRDefault="00CB586B" w:rsidP="00CB586B">
      <w:pPr>
        <w:numPr>
          <w:ilvl w:val="0"/>
          <w:numId w:val="1"/>
        </w:numPr>
        <w:jc w:val="both"/>
        <w:rPr>
          <w:rFonts w:eastAsia="Arial Unicode MS" w:cs="Arial Unicode MS"/>
        </w:rPr>
      </w:pPr>
      <w:r w:rsidRPr="00572A22">
        <w:rPr>
          <w:rFonts w:eastAsia="Arial Unicode MS"/>
        </w:rPr>
        <w:t xml:space="preserve">Noteikt, ka pirkuma maksa ir veicama 100% apmērā pirms līgums noslēgšanas vai veicams pirkums uz nomaksu, paredzot avansa maksājumu ne mazāku par 10% no pirkuma maksas un pirkuma maksas atliktā maksājuma nomaksas termiņu līdz 5 gadiem. </w:t>
      </w:r>
    </w:p>
    <w:p w14:paraId="2716A91C" w14:textId="3472365B" w:rsidR="00CB586B" w:rsidRPr="000419E1" w:rsidRDefault="00CB586B" w:rsidP="00CB586B">
      <w:pPr>
        <w:numPr>
          <w:ilvl w:val="0"/>
          <w:numId w:val="1"/>
        </w:numPr>
        <w:jc w:val="both"/>
        <w:rPr>
          <w:rFonts w:eastAsia="MS Mincho"/>
          <w:i/>
        </w:rPr>
      </w:pPr>
      <w:r w:rsidRPr="00572A22">
        <w:rPr>
          <w:rFonts w:eastAsia="Times New Roman"/>
          <w:lang w:eastAsia="lo-LA" w:bidi="lo-LA"/>
        </w:rPr>
        <w:t xml:space="preserve">Nekustamā īpašuma pārvaldības un teritoriālās plānošanas nodaļai nosūtīt </w:t>
      </w:r>
      <w:r w:rsidR="00DB525D">
        <w:rPr>
          <w:rFonts w:eastAsia="Times New Roman"/>
          <w:lang w:eastAsia="lo-LA" w:bidi="lo-LA"/>
        </w:rPr>
        <w:t xml:space="preserve">[..] </w:t>
      </w:r>
      <w:r w:rsidRPr="00572A22">
        <w:rPr>
          <w:rFonts w:eastAsia="Times New Roman"/>
          <w:lang w:eastAsia="lo-LA" w:bidi="lo-LA"/>
        </w:rPr>
        <w:t xml:space="preserve">nekustamā īpašuma </w:t>
      </w:r>
      <w:r>
        <w:rPr>
          <w:rFonts w:eastAsia="Times New Roman"/>
          <w:lang w:eastAsia="lo-LA" w:bidi="lo-LA"/>
        </w:rPr>
        <w:t>“</w:t>
      </w:r>
      <w:proofErr w:type="spellStart"/>
      <w:r>
        <w:rPr>
          <w:rFonts w:eastAsia="Times New Roman"/>
          <w:lang w:eastAsia="lo-LA" w:bidi="lo-LA"/>
        </w:rPr>
        <w:t>Jaunžagari</w:t>
      </w:r>
      <w:proofErr w:type="spellEnd"/>
      <w:r>
        <w:rPr>
          <w:rFonts w:eastAsia="Times New Roman"/>
          <w:lang w:eastAsia="lo-LA" w:bidi="lo-LA"/>
        </w:rPr>
        <w:t>”, Aronas pagasts, Madonas novads,</w:t>
      </w:r>
      <w:r w:rsidRPr="00572A22">
        <w:rPr>
          <w:rFonts w:eastAsia="Times New Roman"/>
          <w:lang w:eastAsia="lo-LA" w:bidi="lo-LA"/>
        </w:rPr>
        <w:t xml:space="preserve">  atsavināšanas paziņojumu normatīvajos aktos noteiktajā kārtībā.</w:t>
      </w:r>
    </w:p>
    <w:p w14:paraId="2B624ED8" w14:textId="77777777" w:rsidR="00CB586B" w:rsidRDefault="00CB586B" w:rsidP="00CB586B">
      <w:pPr>
        <w:ind w:left="432"/>
        <w:jc w:val="both"/>
        <w:rPr>
          <w:rFonts w:eastAsia="Calibri" w:cs="Times New Roman"/>
        </w:rPr>
      </w:pPr>
    </w:p>
    <w:p w14:paraId="55480C7C" w14:textId="77777777" w:rsidR="00CB586B" w:rsidRDefault="00CB586B" w:rsidP="00CB586B">
      <w:pPr>
        <w:rPr>
          <w:i/>
          <w:iCs/>
        </w:rPr>
      </w:pPr>
    </w:p>
    <w:p w14:paraId="2C08FEB4" w14:textId="77777777" w:rsidR="00CB586B" w:rsidRDefault="00CB586B" w:rsidP="00CB586B">
      <w:pPr>
        <w:rPr>
          <w:i/>
          <w:iCs/>
        </w:rPr>
      </w:pPr>
    </w:p>
    <w:p w14:paraId="529C507B" w14:textId="77777777" w:rsidR="00CB586B" w:rsidRPr="00CB586B" w:rsidRDefault="00CB586B" w:rsidP="00CB586B">
      <w:pPr>
        <w:widowControl/>
        <w:suppressAutoHyphens w:val="0"/>
        <w:ind w:firstLine="709"/>
        <w:rPr>
          <w:rFonts w:eastAsia="Times New Roman" w:cs="Times New Roman"/>
          <w:kern w:val="0"/>
          <w:lang w:eastAsia="lv-LV" w:bidi="ar-SA"/>
        </w:rPr>
      </w:pPr>
      <w:r w:rsidRPr="00CB586B">
        <w:rPr>
          <w:rFonts w:eastAsia="Times New Roman" w:cs="Times New Roman"/>
          <w:kern w:val="0"/>
          <w:lang w:eastAsia="lv-LV" w:bidi="ar-SA"/>
        </w:rPr>
        <w:t>Domes priekšsēdētājs</w:t>
      </w:r>
      <w:r w:rsidRPr="00CB586B">
        <w:rPr>
          <w:rFonts w:eastAsia="Times New Roman" w:cs="Times New Roman"/>
          <w:kern w:val="0"/>
          <w:lang w:eastAsia="lv-LV" w:bidi="ar-SA"/>
        </w:rPr>
        <w:tab/>
      </w:r>
      <w:r w:rsidRPr="00CB586B">
        <w:rPr>
          <w:rFonts w:eastAsia="Times New Roman" w:cs="Times New Roman"/>
          <w:kern w:val="0"/>
          <w:lang w:eastAsia="lv-LV" w:bidi="ar-SA"/>
        </w:rPr>
        <w:tab/>
      </w:r>
      <w:r w:rsidRPr="00CB586B">
        <w:rPr>
          <w:rFonts w:eastAsia="Times New Roman" w:cs="Times New Roman"/>
          <w:kern w:val="0"/>
          <w:lang w:eastAsia="lv-LV" w:bidi="ar-SA"/>
        </w:rPr>
        <w:tab/>
      </w:r>
      <w:r w:rsidRPr="00CB586B">
        <w:rPr>
          <w:rFonts w:eastAsia="Times New Roman" w:cs="Times New Roman"/>
          <w:kern w:val="0"/>
          <w:lang w:eastAsia="lv-LV" w:bidi="ar-SA"/>
        </w:rPr>
        <w:tab/>
      </w:r>
      <w:r w:rsidRPr="00CB586B">
        <w:rPr>
          <w:rFonts w:eastAsia="Times New Roman" w:cs="Times New Roman"/>
          <w:kern w:val="0"/>
          <w:lang w:eastAsia="lv-LV" w:bidi="ar-SA"/>
        </w:rPr>
        <w:tab/>
      </w:r>
      <w:r w:rsidRPr="00CB586B">
        <w:rPr>
          <w:rFonts w:eastAsia="Times New Roman" w:cs="Times New Roman"/>
          <w:kern w:val="0"/>
          <w:lang w:eastAsia="lv-LV" w:bidi="ar-SA"/>
        </w:rPr>
        <w:tab/>
      </w:r>
      <w:r w:rsidRPr="00CB586B">
        <w:rPr>
          <w:rFonts w:eastAsia="Times New Roman" w:cs="Times New Roman"/>
          <w:kern w:val="0"/>
          <w:lang w:eastAsia="lv-LV" w:bidi="ar-SA"/>
        </w:rPr>
        <w:tab/>
        <w:t>A. </w:t>
      </w:r>
      <w:proofErr w:type="spellStart"/>
      <w:r w:rsidRPr="00CB586B">
        <w:rPr>
          <w:rFonts w:eastAsia="Times New Roman" w:cs="Times New Roman"/>
          <w:kern w:val="0"/>
          <w:lang w:eastAsia="lv-LV" w:bidi="ar-SA"/>
        </w:rPr>
        <w:t>Lungevičs</w:t>
      </w:r>
      <w:proofErr w:type="spellEnd"/>
    </w:p>
    <w:p w14:paraId="51C8596C" w14:textId="77777777" w:rsidR="00CB586B" w:rsidRPr="00CB586B" w:rsidRDefault="00CB586B" w:rsidP="00CB586B">
      <w:pPr>
        <w:widowControl/>
        <w:suppressAutoHyphens w:val="0"/>
        <w:jc w:val="both"/>
        <w:rPr>
          <w:rFonts w:eastAsia="Calibri" w:cs="Times New Roman"/>
          <w:i/>
          <w:kern w:val="2"/>
          <w:lang w:eastAsia="en-US" w:bidi="ar-SA"/>
          <w14:ligatures w14:val="standardContextual"/>
        </w:rPr>
      </w:pPr>
    </w:p>
    <w:p w14:paraId="3E2C8C2B" w14:textId="77777777" w:rsidR="00CB586B" w:rsidRDefault="00CB586B" w:rsidP="00CB586B">
      <w:pPr>
        <w:rPr>
          <w:i/>
          <w:iCs/>
        </w:rPr>
      </w:pPr>
    </w:p>
    <w:p w14:paraId="73850EF9" w14:textId="77777777" w:rsidR="00CB586B" w:rsidRDefault="00CB586B" w:rsidP="00CB586B">
      <w:pPr>
        <w:rPr>
          <w:i/>
          <w:iCs/>
        </w:rPr>
      </w:pPr>
    </w:p>
    <w:p w14:paraId="75778CBB" w14:textId="4E0A12EE" w:rsidR="00CB586B" w:rsidRDefault="00CB586B" w:rsidP="00CB586B">
      <w:r>
        <w:rPr>
          <w:i/>
          <w:iCs/>
        </w:rPr>
        <w:t>Čačka 28080793</w:t>
      </w:r>
    </w:p>
    <w:p w14:paraId="18BCFB6D" w14:textId="77777777" w:rsidR="007D14CD" w:rsidRDefault="007D14CD"/>
    <w:sectPr w:rsidR="007D14CD" w:rsidSect="00CB586B">
      <w:footerReference w:type="default" r:id="rId10"/>
      <w:pgSz w:w="11906" w:h="16838"/>
      <w:pgMar w:top="1134" w:right="1134" w:bottom="1134" w:left="1701" w:header="720"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F09446" w14:textId="77777777" w:rsidR="00D60935" w:rsidRDefault="00D60935" w:rsidP="00CB586B">
      <w:r>
        <w:separator/>
      </w:r>
    </w:p>
  </w:endnote>
  <w:endnote w:type="continuationSeparator" w:id="0">
    <w:p w14:paraId="35115E56" w14:textId="77777777" w:rsidR="00D60935" w:rsidRDefault="00D60935" w:rsidP="00CB58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4A1EE" w14:textId="77777777" w:rsidR="00CB586B" w:rsidRPr="00CB586B" w:rsidRDefault="00CB586B" w:rsidP="00CB586B">
    <w:pPr>
      <w:widowControl/>
      <w:tabs>
        <w:tab w:val="center" w:pos="4153"/>
        <w:tab w:val="right" w:pos="8306"/>
      </w:tabs>
      <w:suppressAutoHyphens w:val="0"/>
      <w:jc w:val="center"/>
      <w:rPr>
        <w:rFonts w:eastAsia="Times New Roman" w:cs="Times New Roman"/>
        <w:kern w:val="0"/>
        <w:lang w:eastAsia="lv-LV" w:bidi="ar-SA"/>
      </w:rPr>
    </w:pPr>
    <w:bookmarkStart w:id="0" w:name="_Hlk202447562"/>
    <w:r w:rsidRPr="00CB586B">
      <w:rPr>
        <w:rFonts w:eastAsia="Times New Roman" w:cs="Times New Roman"/>
        <w:kern w:val="0"/>
        <w:sz w:val="20"/>
        <w:szCs w:val="20"/>
        <w:lang w:eastAsia="lv-LV" w:bidi="ar-SA"/>
      </w:rPr>
      <w:t>DOKUMENTS PARAKSTĪTS AR DROŠU ELEKTRONISKO PARAKSTU UN SATUR LAIKA ZĪMOGU</w:t>
    </w:r>
  </w:p>
  <w:bookmarkEnd w:id="0"/>
  <w:p w14:paraId="4331AD15" w14:textId="77777777" w:rsidR="00CB586B" w:rsidRDefault="00CB586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FC173" w14:textId="77777777" w:rsidR="00D60935" w:rsidRDefault="00D60935" w:rsidP="00CB586B">
      <w:r>
        <w:separator/>
      </w:r>
    </w:p>
  </w:footnote>
  <w:footnote w:type="continuationSeparator" w:id="0">
    <w:p w14:paraId="4FDEFF3E" w14:textId="77777777" w:rsidR="00D60935" w:rsidRDefault="00D60935" w:rsidP="00CB58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49043A"/>
    <w:multiLevelType w:val="hybridMultilevel"/>
    <w:tmpl w:val="63901DFC"/>
    <w:lvl w:ilvl="0" w:tplc="62E8C50E">
      <w:start w:val="1"/>
      <w:numFmt w:val="decimal"/>
      <w:lvlText w:val="%1."/>
      <w:lvlJc w:val="left"/>
      <w:pPr>
        <w:ind w:left="720" w:hanging="360"/>
      </w:pPr>
      <w:rPr>
        <w:rFonts w:eastAsia="Calibri" w:cs="Times New Roman" w:hint="default"/>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5273772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CA6"/>
    <w:rsid w:val="00057CA6"/>
    <w:rsid w:val="001621E9"/>
    <w:rsid w:val="00291A82"/>
    <w:rsid w:val="007D14CD"/>
    <w:rsid w:val="009D015B"/>
    <w:rsid w:val="00A6298D"/>
    <w:rsid w:val="00CB586B"/>
    <w:rsid w:val="00D60935"/>
    <w:rsid w:val="00DB525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CA1A0"/>
  <w15:chartTrackingRefBased/>
  <w15:docId w15:val="{E124B5EE-02AE-4B89-88C3-811FCCDEC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CB586B"/>
    <w:pPr>
      <w:widowControl w:val="0"/>
      <w:suppressAutoHyphens/>
      <w:spacing w:after="0" w:line="240" w:lineRule="auto"/>
    </w:pPr>
    <w:rPr>
      <w:rFonts w:ascii="Times New Roman" w:eastAsia="SimSun" w:hAnsi="Times New Roman" w:cs="Arial"/>
      <w:kern w:val="1"/>
      <w:lang w:eastAsia="hi-IN" w:bidi="hi-IN"/>
      <w14:ligatures w14:val="none"/>
    </w:rPr>
  </w:style>
  <w:style w:type="paragraph" w:styleId="Virsraksts1">
    <w:name w:val="heading 1"/>
    <w:basedOn w:val="Parasts"/>
    <w:next w:val="Parasts"/>
    <w:link w:val="Virsraksts1Rakstz"/>
    <w:uiPriority w:val="9"/>
    <w:qFormat/>
    <w:rsid w:val="00057C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057C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057CA6"/>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057CA6"/>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057CA6"/>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057CA6"/>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057CA6"/>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057CA6"/>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057CA6"/>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057CA6"/>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057CA6"/>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057CA6"/>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057CA6"/>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057CA6"/>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057CA6"/>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057CA6"/>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057CA6"/>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057CA6"/>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057CA6"/>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057CA6"/>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057CA6"/>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057CA6"/>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057CA6"/>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057CA6"/>
    <w:rPr>
      <w:i/>
      <w:iCs/>
      <w:color w:val="404040" w:themeColor="text1" w:themeTint="BF"/>
    </w:rPr>
  </w:style>
  <w:style w:type="paragraph" w:styleId="Sarakstarindkopa">
    <w:name w:val="List Paragraph"/>
    <w:basedOn w:val="Parasts"/>
    <w:uiPriority w:val="34"/>
    <w:qFormat/>
    <w:rsid w:val="00057CA6"/>
    <w:pPr>
      <w:ind w:left="720"/>
      <w:contextualSpacing/>
    </w:pPr>
  </w:style>
  <w:style w:type="character" w:styleId="Intensvsizclums">
    <w:name w:val="Intense Emphasis"/>
    <w:basedOn w:val="Noklusjumarindkopasfonts"/>
    <w:uiPriority w:val="21"/>
    <w:qFormat/>
    <w:rsid w:val="00057CA6"/>
    <w:rPr>
      <w:i/>
      <w:iCs/>
      <w:color w:val="0F4761" w:themeColor="accent1" w:themeShade="BF"/>
    </w:rPr>
  </w:style>
  <w:style w:type="paragraph" w:styleId="Intensvscitts">
    <w:name w:val="Intense Quote"/>
    <w:basedOn w:val="Parasts"/>
    <w:next w:val="Parasts"/>
    <w:link w:val="IntensvscittsRakstz"/>
    <w:uiPriority w:val="30"/>
    <w:qFormat/>
    <w:rsid w:val="00057C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057CA6"/>
    <w:rPr>
      <w:i/>
      <w:iCs/>
      <w:color w:val="0F4761" w:themeColor="accent1" w:themeShade="BF"/>
    </w:rPr>
  </w:style>
  <w:style w:type="character" w:styleId="Intensvaatsauce">
    <w:name w:val="Intense Reference"/>
    <w:basedOn w:val="Noklusjumarindkopasfonts"/>
    <w:uiPriority w:val="32"/>
    <w:qFormat/>
    <w:rsid w:val="00057CA6"/>
    <w:rPr>
      <w:b/>
      <w:bCs/>
      <w:smallCaps/>
      <w:color w:val="0F4761" w:themeColor="accent1" w:themeShade="BF"/>
      <w:spacing w:val="5"/>
    </w:rPr>
  </w:style>
  <w:style w:type="paragraph" w:customStyle="1" w:styleId="Sarakstarindkopa1">
    <w:name w:val="Saraksta rindkopa1"/>
    <w:basedOn w:val="Parasts"/>
    <w:rsid w:val="00CB586B"/>
    <w:pPr>
      <w:widowControl/>
      <w:spacing w:after="160" w:line="254" w:lineRule="auto"/>
      <w:ind w:left="720"/>
    </w:pPr>
    <w:rPr>
      <w:rFonts w:ascii="Calibri" w:hAnsi="Calibri" w:cs="Calibri"/>
      <w:sz w:val="22"/>
      <w:szCs w:val="22"/>
      <w:lang w:eastAsia="ar-SA" w:bidi="ar-SA"/>
    </w:rPr>
  </w:style>
  <w:style w:type="character" w:styleId="Hipersaite">
    <w:name w:val="Hyperlink"/>
    <w:unhideWhenUsed/>
    <w:rsid w:val="00CB586B"/>
    <w:rPr>
      <w:color w:val="000080"/>
      <w:u w:val="single"/>
    </w:rPr>
  </w:style>
  <w:style w:type="table" w:styleId="Reatabula">
    <w:name w:val="Table Grid"/>
    <w:basedOn w:val="Parastatabula"/>
    <w:uiPriority w:val="39"/>
    <w:rsid w:val="00CB586B"/>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CB586B"/>
    <w:pPr>
      <w:tabs>
        <w:tab w:val="center" w:pos="4153"/>
        <w:tab w:val="right" w:pos="8306"/>
      </w:tabs>
    </w:pPr>
    <w:rPr>
      <w:rFonts w:cs="Mangal"/>
      <w:szCs w:val="21"/>
    </w:rPr>
  </w:style>
  <w:style w:type="character" w:customStyle="1" w:styleId="GalveneRakstz">
    <w:name w:val="Galvene Rakstz."/>
    <w:basedOn w:val="Noklusjumarindkopasfonts"/>
    <w:link w:val="Galvene"/>
    <w:uiPriority w:val="99"/>
    <w:rsid w:val="00CB586B"/>
    <w:rPr>
      <w:rFonts w:ascii="Times New Roman" w:eastAsia="SimSun" w:hAnsi="Times New Roman" w:cs="Mangal"/>
      <w:kern w:val="1"/>
      <w:szCs w:val="21"/>
      <w:lang w:eastAsia="hi-IN" w:bidi="hi-IN"/>
      <w14:ligatures w14:val="none"/>
    </w:rPr>
  </w:style>
  <w:style w:type="paragraph" w:styleId="Kjene">
    <w:name w:val="footer"/>
    <w:basedOn w:val="Parasts"/>
    <w:link w:val="KjeneRakstz"/>
    <w:uiPriority w:val="99"/>
    <w:unhideWhenUsed/>
    <w:rsid w:val="00CB586B"/>
    <w:pPr>
      <w:tabs>
        <w:tab w:val="center" w:pos="4153"/>
        <w:tab w:val="right" w:pos="8306"/>
      </w:tabs>
    </w:pPr>
    <w:rPr>
      <w:rFonts w:cs="Mangal"/>
      <w:szCs w:val="21"/>
    </w:rPr>
  </w:style>
  <w:style w:type="character" w:customStyle="1" w:styleId="KjeneRakstz">
    <w:name w:val="Kājene Rakstz."/>
    <w:basedOn w:val="Noklusjumarindkopasfonts"/>
    <w:link w:val="Kjene"/>
    <w:uiPriority w:val="99"/>
    <w:rsid w:val="00CB586B"/>
    <w:rPr>
      <w:rFonts w:ascii="Times New Roman" w:eastAsia="SimSun" w:hAnsi="Times New Roman" w:cs="Mangal"/>
      <w:kern w:val="1"/>
      <w:szCs w:val="21"/>
      <w:lang w:eastAsia="hi-I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68490"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likumi.lv/ta/id/68490"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2847</Words>
  <Characters>1623</Characters>
  <Application>Microsoft Office Word</Application>
  <DocSecurity>0</DocSecurity>
  <Lines>13</Lines>
  <Paragraphs>8</Paragraphs>
  <ScaleCrop>false</ScaleCrop>
  <Company/>
  <LinksUpToDate>false</LinksUpToDate>
  <CharactersWithSpaces>4462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EvijaCipule</dc:creator>
  <cp:keywords/>
  <dc:description/>
  <cp:lastModifiedBy>EvijaCipule</cp:lastModifiedBy>
  <cp:revision>3</cp:revision>
  <dcterms:created xsi:type="dcterms:W3CDTF">2026-10-03T09:00:00Z</dcterms:created>
  <dcterms:modified xsi:type="dcterms:W3CDTF">2026-10-08T17:56:00Z</dcterms:modified>
</cp:coreProperties>
</file>